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6B" w:rsidRDefault="00D57E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E97CB" wp14:editId="61324586">
                <wp:simplePos x="0" y="0"/>
                <wp:positionH relativeFrom="column">
                  <wp:posOffset>1314449</wp:posOffset>
                </wp:positionH>
                <wp:positionV relativeFrom="paragraph">
                  <wp:posOffset>847725</wp:posOffset>
                </wp:positionV>
                <wp:extent cx="5495925" cy="79724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97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9C" w:rsidRDefault="00D57E90" w:rsidP="003972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IMMEDIATE RELEASE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972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61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Suja Jacob</w:t>
                            </w:r>
                          </w:p>
                          <w:p w:rsidR="0039729C" w:rsidRDefault="00036059" w:rsidP="003972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December 29</w:t>
                            </w:r>
                            <w:r w:rsidR="00961D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2016</w:t>
                            </w:r>
                            <w:r w:rsidR="00073A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73A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73A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73A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73A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73A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57E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5" w:history="1">
                              <w:r w:rsidR="00961D32" w:rsidRPr="00F82BB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sjacob@kerrtarcog.org</w:t>
                              </w:r>
                            </w:hyperlink>
                          </w:p>
                          <w:p w:rsidR="00D57E90" w:rsidRDefault="00D57E90" w:rsidP="003972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9729C" w:rsidRDefault="0039729C" w:rsidP="003972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06726" w:rsidRDefault="00306726" w:rsidP="00D57E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5525C" w:rsidRDefault="00D5525C" w:rsidP="00D57E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5525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Respite Vouchers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Available</w:t>
                            </w:r>
                            <w:r w:rsidRPr="00D5525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30672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Caregivers</w:t>
                            </w:r>
                            <w:r w:rsidRPr="00D5525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in Need </w:t>
                            </w:r>
                          </w:p>
                          <w:p w:rsidR="00D5525C" w:rsidRPr="00D5525C" w:rsidRDefault="00D5525C" w:rsidP="00D55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5525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Duke Family Support Program and Kerr Tar Area Agency on Aging Team Up for Event</w:t>
                            </w:r>
                          </w:p>
                          <w:p w:rsidR="00D5525C" w:rsidRDefault="00073AA9" w:rsidP="00036059">
                            <w:pPr>
                              <w:spacing w:before="240" w:after="12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Henderson NC - </w:t>
                            </w:r>
                            <w:r w:rsidR="001A3A52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Kerr Tar Area Agency on Aging (AAA) is </w:t>
                            </w:r>
                            <w:r w:rsidR="00A454EE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cosponsoring two events with </w:t>
                            </w:r>
                            <w:r w:rsidR="00C769D4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B16F3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Duke Family Support </w:t>
                            </w:r>
                            <w:r w:rsidR="00196736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BB16F3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January to distribute respite vouchers to </w:t>
                            </w:r>
                            <w:r w:rsidR="00D5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families</w:t>
                            </w:r>
                            <w:r w:rsidR="00BB16F3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caring </w:t>
                            </w:r>
                            <w:r w:rsidR="001A3A52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BB16F3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</w:t>
                            </w:r>
                            <w:r w:rsidR="001A3A52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BB16F3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dementia. The first event will be </w:t>
                            </w:r>
                            <w:r w:rsid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held </w:t>
                            </w:r>
                            <w:r w:rsidR="00BB16F3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BB16F3" w:rsidRPr="000360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Tuesday, January 17</w:t>
                            </w:r>
                            <w:r w:rsidR="00BB16F3" w:rsidRPr="000360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B16F3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the Oxford Senior Center, </w:t>
                            </w:r>
                            <w:r w:rsidR="00BB16F3" w:rsidRPr="00036059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107 Lanier St, Oxford, </w:t>
                            </w:r>
                            <w:r w:rsidR="001A3A52" w:rsidRPr="00036059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NC</w:t>
                            </w:r>
                            <w:r w:rsidR="001A3A52" w:rsidRPr="00036059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BB16F3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 The second </w:t>
                            </w:r>
                            <w:r w:rsid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event</w:t>
                            </w:r>
                            <w:r w:rsidR="00BB16F3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be </w:t>
                            </w:r>
                            <w:r w:rsidR="001A3A52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1A3A52" w:rsidRPr="000360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Wednesday, January </w:t>
                            </w:r>
                            <w:r w:rsidR="00BB16F3" w:rsidRPr="000360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  <w:r w:rsidR="00BB16F3" w:rsidRPr="000360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B16F3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the Vance </w:t>
                            </w:r>
                            <w:r w:rsidR="001A3A52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County </w:t>
                            </w:r>
                            <w:r w:rsidR="00BB16F3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 Center</w:t>
                            </w:r>
                            <w:r w:rsidR="001A3A52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126 S</w:t>
                            </w:r>
                            <w:r w:rsidR="00D5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1A3A52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Garnett St, Henderson, NC</w:t>
                            </w:r>
                            <w:r w:rsidR="00BB16F3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1A3A52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6736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525C" w:rsidRDefault="00E11C5F" w:rsidP="00036059">
                            <w:pPr>
                              <w:spacing w:before="240" w:after="12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</w:t>
                            </w:r>
                            <w:r w:rsidR="00196736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aneli</w:t>
                            </w:r>
                            <w:proofErr w:type="spellEnd"/>
                            <w:r w:rsidR="00196736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Smith and Bobbi </w:t>
                            </w:r>
                            <w:proofErr w:type="spellStart"/>
                            <w:r w:rsidR="00196736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Matchar</w:t>
                            </w:r>
                            <w:proofErr w:type="spellEnd"/>
                            <w:r w:rsidR="00196736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from the Duke Family Support Program will meet with caregivers of loved ones with dementia and offer counseling, educ</w:t>
                            </w:r>
                            <w:r w:rsidR="00D5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ation and/or respite vouchers. </w:t>
                            </w:r>
                            <w:r w:rsidR="00196736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Funding for </w:t>
                            </w:r>
                            <w:r w:rsidR="00D5525C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these events are</w:t>
                            </w:r>
                            <w:r w:rsidR="00196736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provided by Project C.A.R.E.</w:t>
                            </w:r>
                            <w:r w:rsidR="00D5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54EE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Project C.A.R.E. (Caregiver Alternatives to Running on Empty) is the only state-funded, dementia-specific support for families who take care of individuals with Alzheimer’s disease or related dementias</w:t>
                            </w:r>
                            <w:r w:rsidR="00196736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5525C" w:rsidRPr="00D5525C" w:rsidRDefault="00D5525C" w:rsidP="00D5525C">
                            <w:pPr>
                              <w:spacing w:before="240" w:after="12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One component to </w:t>
                            </w:r>
                            <w:r w:rsidRPr="00D5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Project C.A.R.E.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Pr="00D5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respite </w:t>
                            </w:r>
                            <w:r w:rsidR="00E1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vouchers for family caregivers caring for</w:t>
                            </w:r>
                            <w:r w:rsidRPr="00D5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individuals with Alzheimer’s disease or related dementias</w:t>
                            </w:r>
                            <w:r w:rsidR="00E1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their home</w:t>
                            </w:r>
                            <w:r w:rsidRPr="00D5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who are not paid for their caregiving and who are age 18 or older. Priority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 w:rsidRPr="00D5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given to assist unpaid caregivers of individuals with the greatest social and economic needs, to caregivers who do not receive a respite break from any other funding source, as well as to those who have no regular source of funding for in-home assistance.</w:t>
                            </w:r>
                          </w:p>
                          <w:p w:rsidR="00D5525C" w:rsidRDefault="00D5525C" w:rsidP="00D5525C">
                            <w:pPr>
                              <w:spacing w:before="240" w:after="12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Respite vouchers </w:t>
                            </w:r>
                            <w:r w:rsidR="003067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 w:rsidRPr="00D5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issued in amounts up to $500 per voucher. Caregivers receive a reimbursement for respite services upon receipt of completed signed record of respite (time sheets). Respite services may include in-home care, adult day care, group respite, institutional care, companion ca</w:t>
                            </w:r>
                            <w:r w:rsidR="003067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 or other emergency respite. C</w:t>
                            </w:r>
                            <w:r w:rsidRPr="00D552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Melissa Catlett, Family Caregiver Specialist at 252-436-2040 to make an appointment for one of these events.</w:t>
                            </w:r>
                          </w:p>
                          <w:p w:rsidR="00A454EE" w:rsidRPr="00036059" w:rsidRDefault="00A454EE" w:rsidP="00036059">
                            <w:pPr>
                              <w:spacing w:before="240" w:after="12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Respite </w:t>
                            </w:r>
                            <w:r w:rsidR="003067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 </w:t>
                            </w:r>
                            <w:r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a key component of caregiver support that strengthens family systems while protecting the health and well-being of family caregivers as well as care</w:t>
                            </w:r>
                            <w:r w:rsid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recipients</w:t>
                            </w:r>
                            <w:r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1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Last summer the NC legislature expanded funding for </w:t>
                            </w:r>
                            <w:r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Project C.A.R.E. </w:t>
                            </w:r>
                            <w:r w:rsidR="00312C4D"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E11C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500,000</w:t>
                            </w:r>
                            <w:bookmarkStart w:id="0" w:name="_GoBack"/>
                            <w:bookmarkEnd w:id="0"/>
                            <w:r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dollars to use towards family caregiver support services, including respite care for caregivers.</w:t>
                            </w:r>
                          </w:p>
                          <w:p w:rsidR="00D57E90" w:rsidRDefault="0039729C" w:rsidP="00036059">
                            <w:pPr>
                              <w:spacing w:before="240" w:after="12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60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Kerr Tar Area Agency on Aging leads and is involved in the efforts that provide for the development and enhancement of comprehensive and coordinated community based</w:t>
                            </w:r>
                            <w:r w:rsidRPr="003972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systems of services, opportunities, and protections for older adults which assist them in leading independent, meaningful and dignified lives in their own homes and communities for as long as possible.</w:t>
                            </w:r>
                            <w:r w:rsidR="003B69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 serve five counties, Franklin, Granville, Person, Vance and Warren. </w:t>
                            </w:r>
                            <w:r w:rsidRPr="003972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890D4A" w:rsidRPr="001104C1" w:rsidRDefault="00D57E90" w:rsidP="00036059">
                            <w:pPr>
                              <w:spacing w:before="240"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more information about the Kerr Tar Area Agency on Aging, please call 252-436-2040.</w:t>
                            </w:r>
                            <w:r w:rsidR="0039729C" w:rsidRPr="003972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66.75pt;width:432.75pt;height:6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" stroked="f">
                <v:textbox>
                  <w:txbxContent>
                    <w:p w:rsidR="0039729C" w:rsidRDefault="00D57E90" w:rsidP="003972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IMMEDIATE RELEASE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9729C">
                        <w:rPr>
                          <w:rFonts w:ascii="Arial" w:hAnsi="Arial" w:cs="Arial"/>
                          <w:sz w:val="20"/>
                          <w:szCs w:val="20"/>
                        </w:rPr>
                        <w:t>CONTACT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961D32">
                        <w:rPr>
                          <w:rFonts w:ascii="Arial" w:hAnsi="Arial" w:cs="Arial"/>
                          <w:sz w:val="20"/>
                          <w:szCs w:val="20"/>
                        </w:rPr>
                        <w:t>Suja Jacob</w:t>
                      </w:r>
                    </w:p>
                    <w:p w:rsidR="0039729C" w:rsidRDefault="00036059" w:rsidP="003972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December 29</w:t>
                      </w:r>
                      <w:r w:rsidR="00961D32">
                        <w:rPr>
                          <w:rFonts w:ascii="Arial" w:hAnsi="Arial" w:cs="Arial"/>
                          <w:sz w:val="20"/>
                          <w:szCs w:val="20"/>
                        </w:rPr>
                        <w:t>, 2016</w:t>
                      </w:r>
                      <w:r w:rsidR="00073AA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73AA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73AA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73AA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73AA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73AA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57E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hyperlink r:id="rId6" w:history="1">
                        <w:r w:rsidR="00961D32" w:rsidRPr="00F82BB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sjacob@kerrtarcog.org</w:t>
                        </w:r>
                      </w:hyperlink>
                    </w:p>
                    <w:p w:rsidR="00D57E90" w:rsidRDefault="00D57E90" w:rsidP="003972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9729C" w:rsidRDefault="0039729C" w:rsidP="003972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06726" w:rsidRDefault="00306726" w:rsidP="00D57E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5525C" w:rsidRDefault="00D5525C" w:rsidP="00D57E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D5525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Respite Vouchers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Available</w:t>
                      </w:r>
                      <w:r w:rsidRPr="00D5525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for </w:t>
                      </w:r>
                      <w:r w:rsidR="0030672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Caregivers</w:t>
                      </w:r>
                      <w:r w:rsidRPr="00D5525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in Need </w:t>
                      </w:r>
                    </w:p>
                    <w:p w:rsidR="00D5525C" w:rsidRPr="00D5525C" w:rsidRDefault="00D5525C" w:rsidP="00D55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5525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Duke Family Support Program and Kerr Tar Area Agency on Aging Team Up for Event</w:t>
                      </w:r>
                    </w:p>
                    <w:p w:rsidR="00D5525C" w:rsidRDefault="00073AA9" w:rsidP="00036059">
                      <w:pPr>
                        <w:spacing w:before="240" w:after="12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Henderson NC - </w:t>
                      </w:r>
                      <w:r w:rsidR="001A3A52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Kerr Tar Area Agency on Aging (AAA) is </w:t>
                      </w:r>
                      <w:r w:rsidR="00A454EE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cosponsoring two events with </w:t>
                      </w:r>
                      <w:r w:rsidR="00C769D4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BB16F3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Duke Family Support </w:t>
                      </w:r>
                      <w:r w:rsidR="00196736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Program </w:t>
                      </w:r>
                      <w:r w:rsidR="00BB16F3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January to distribute respite vouchers to </w:t>
                      </w:r>
                      <w:r w:rsidR="00D5525C">
                        <w:rPr>
                          <w:rFonts w:ascii="Arial" w:hAnsi="Arial" w:cs="Arial"/>
                          <w:sz w:val="20"/>
                          <w:szCs w:val="20"/>
                        </w:rPr>
                        <w:t>families</w:t>
                      </w:r>
                      <w:r w:rsidR="00BB16F3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caring </w:t>
                      </w:r>
                      <w:r w:rsidR="001A3A52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 w:rsidR="00BB16F3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</w:t>
                      </w:r>
                      <w:r w:rsidR="001A3A52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BB16F3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dementia. The first event will be </w:t>
                      </w:r>
                      <w:r w:rsid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held </w:t>
                      </w:r>
                      <w:r w:rsidR="00BB16F3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 </w:t>
                      </w:r>
                      <w:r w:rsidR="00BB16F3" w:rsidRPr="000360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Tuesday, January 17</w:t>
                      </w:r>
                      <w:r w:rsidR="00BB16F3" w:rsidRPr="00036059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B16F3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the Oxford Senior Center, </w:t>
                      </w:r>
                      <w:r w:rsidR="00BB16F3" w:rsidRPr="00036059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107 Lanier St, Oxford, </w:t>
                      </w:r>
                      <w:r w:rsidR="001A3A52" w:rsidRPr="00036059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NC</w:t>
                      </w:r>
                      <w:r w:rsidR="001A3A52" w:rsidRPr="00036059">
                        <w:rPr>
                          <w:rStyle w:val="apple-converted-spac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BB16F3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 The second </w:t>
                      </w:r>
                      <w:r w:rsid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>event</w:t>
                      </w:r>
                      <w:r w:rsidR="00BB16F3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 be </w:t>
                      </w:r>
                      <w:r w:rsidR="001A3A52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 </w:t>
                      </w:r>
                      <w:r w:rsidR="001A3A52" w:rsidRPr="000360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Wednesday, January </w:t>
                      </w:r>
                      <w:r w:rsidR="00BB16F3" w:rsidRPr="000360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18</w:t>
                      </w:r>
                      <w:r w:rsidR="00BB16F3" w:rsidRPr="00036059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B16F3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the Vance </w:t>
                      </w:r>
                      <w:r w:rsidR="001A3A52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County </w:t>
                      </w:r>
                      <w:r w:rsidR="00BB16F3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>Senior Center</w:t>
                      </w:r>
                      <w:r w:rsidR="001A3A52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>, 126 S</w:t>
                      </w:r>
                      <w:r w:rsidR="00D5525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A3A52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Garnett St, Henderson, NC</w:t>
                      </w:r>
                      <w:r w:rsidR="00BB16F3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A3A52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96736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525C" w:rsidRDefault="00E11C5F" w:rsidP="00036059">
                      <w:pPr>
                        <w:spacing w:before="240" w:after="12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</w:t>
                      </w:r>
                      <w:r w:rsidR="00196736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>aneli</w:t>
                      </w:r>
                      <w:proofErr w:type="spellEnd"/>
                      <w:r w:rsidR="00196736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Smith and Bobbi </w:t>
                      </w:r>
                      <w:proofErr w:type="spellStart"/>
                      <w:r w:rsidR="00196736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>Matchar</w:t>
                      </w:r>
                      <w:proofErr w:type="spellEnd"/>
                      <w:r w:rsidR="00196736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from the Duke Family Support Program will meet with caregivers of loved ones with dementia and offer counseling, educ</w:t>
                      </w:r>
                      <w:r w:rsidR="00D552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ation and/or respite vouchers. </w:t>
                      </w:r>
                      <w:r w:rsidR="00196736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Funding for </w:t>
                      </w:r>
                      <w:r w:rsidR="00D5525C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>these events are</w:t>
                      </w:r>
                      <w:r w:rsidR="00196736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provided by Project C.A.R.E.</w:t>
                      </w:r>
                      <w:r w:rsidR="00D552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454EE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>Project C.A.R.E. (Caregiver Alternatives to Running on Empty) is the only state-funded, dementia-specific support for families who take care of individuals with Alzheimer’s disease or related dementias</w:t>
                      </w:r>
                      <w:r w:rsidR="00196736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5525C" w:rsidRPr="00D5525C" w:rsidRDefault="00D5525C" w:rsidP="00D5525C">
                      <w:pPr>
                        <w:spacing w:before="240" w:after="12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One component to </w:t>
                      </w:r>
                      <w:r w:rsidRPr="00D5525C">
                        <w:rPr>
                          <w:rFonts w:ascii="Arial" w:hAnsi="Arial" w:cs="Arial"/>
                          <w:sz w:val="20"/>
                          <w:szCs w:val="20"/>
                        </w:rPr>
                        <w:t>Project C.A.R.E.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</w:t>
                      </w:r>
                      <w:r w:rsidRPr="00D552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respite </w:t>
                      </w:r>
                      <w:r w:rsidR="00E11C5F">
                        <w:rPr>
                          <w:rFonts w:ascii="Arial" w:hAnsi="Arial" w:cs="Arial"/>
                          <w:sz w:val="20"/>
                          <w:szCs w:val="20"/>
                        </w:rPr>
                        <w:t>vouchers for family caregivers caring for</w:t>
                      </w:r>
                      <w:r w:rsidRPr="00D552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individuals with Alzheimer’s disease or related dementias</w:t>
                      </w:r>
                      <w:r w:rsidR="00E11C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their home</w:t>
                      </w:r>
                      <w:r w:rsidRPr="00D552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who are not paid for their caregiving and who are age 18 or older. Priority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r w:rsidRPr="00D552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given to assist unpaid caregivers of individuals with the greatest social and economic needs, to caregivers who do not receive a respite break from any other funding source, as well as to those who have no regular source of funding for in-home assistance.</w:t>
                      </w:r>
                    </w:p>
                    <w:p w:rsidR="00D5525C" w:rsidRDefault="00D5525C" w:rsidP="00D5525C">
                      <w:pPr>
                        <w:spacing w:before="240" w:after="12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52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Respite vouchers </w:t>
                      </w:r>
                      <w:r w:rsidR="00306726">
                        <w:rPr>
                          <w:rFonts w:ascii="Arial" w:hAnsi="Arial" w:cs="Arial"/>
                          <w:sz w:val="20"/>
                          <w:szCs w:val="20"/>
                        </w:rPr>
                        <w:t>are</w:t>
                      </w:r>
                      <w:r w:rsidRPr="00D552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issued in amounts up to $500 per voucher. Caregivers receive a reimbursement for respite services upon receipt of completed signed record of respite (time sheets). Respite services may include in-home care, adult day care, group respite, institutional care, companion ca</w:t>
                      </w:r>
                      <w:r w:rsidR="00306726">
                        <w:rPr>
                          <w:rFonts w:ascii="Arial" w:hAnsi="Arial" w:cs="Arial"/>
                          <w:sz w:val="20"/>
                          <w:szCs w:val="20"/>
                        </w:rPr>
                        <w:t>re or other emergency respite. C</w:t>
                      </w:r>
                      <w:r w:rsidRPr="00D5525C">
                        <w:rPr>
                          <w:rFonts w:ascii="Arial" w:hAnsi="Arial" w:cs="Arial"/>
                          <w:sz w:val="20"/>
                          <w:szCs w:val="20"/>
                        </w:rPr>
                        <w:t>all Melissa Catlett, Family Caregiver Specialist at 252-436-2040 to make an appointment for one of these events.</w:t>
                      </w:r>
                    </w:p>
                    <w:p w:rsidR="00A454EE" w:rsidRPr="00036059" w:rsidRDefault="00A454EE" w:rsidP="00036059">
                      <w:pPr>
                        <w:spacing w:before="240" w:after="12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Respite </w:t>
                      </w:r>
                      <w:r w:rsidR="003067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 </w:t>
                      </w:r>
                      <w:r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>is a key component of caregiver support that strengthens family systems while protecting the health and well-being of family caregivers as well as care</w:t>
                      </w:r>
                      <w:r w:rsid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recipients</w:t>
                      </w:r>
                      <w:r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E11C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Last summer the NC legislature expanded funding for </w:t>
                      </w:r>
                      <w:r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Project C.A.R.E. </w:t>
                      </w:r>
                      <w:r w:rsidR="00312C4D"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 w:rsidR="00E11C5F">
                        <w:rPr>
                          <w:rFonts w:ascii="Arial" w:hAnsi="Arial" w:cs="Arial"/>
                          <w:sz w:val="20"/>
                          <w:szCs w:val="20"/>
                        </w:rPr>
                        <w:t>500,000</w:t>
                      </w:r>
                      <w:bookmarkStart w:id="1" w:name="_GoBack"/>
                      <w:bookmarkEnd w:id="1"/>
                      <w:r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dollars to use towards family caregiver support services, including respite care for caregivers.</w:t>
                      </w:r>
                    </w:p>
                    <w:p w:rsidR="00D57E90" w:rsidRDefault="0039729C" w:rsidP="00036059">
                      <w:pPr>
                        <w:spacing w:before="240" w:after="12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6059">
                        <w:rPr>
                          <w:rFonts w:ascii="Arial" w:hAnsi="Arial" w:cs="Arial"/>
                          <w:sz w:val="20"/>
                          <w:szCs w:val="20"/>
                        </w:rPr>
                        <w:t>The Kerr Tar Area Agency on Aging leads and is involved in the efforts that provide for the development and enhancement of comprehensive and coordinated community based</w:t>
                      </w:r>
                      <w:r w:rsidRPr="003972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systems of services, opportunities, and protections for older adults which assist them in leading independent, meaningful and dignified lives in their own homes and communities for as long as possible.</w:t>
                      </w:r>
                      <w:r w:rsidR="003B69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 serve five counties, Franklin, Granville, Person, Vance and Warren. </w:t>
                      </w:r>
                      <w:r w:rsidRPr="003972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890D4A" w:rsidRPr="001104C1" w:rsidRDefault="00D57E90" w:rsidP="00036059">
                      <w:pPr>
                        <w:spacing w:before="240"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more information about the Kerr Tar Area Agency on Aging, please call 252-436-2040.</w:t>
                      </w:r>
                      <w:r w:rsidR="0039729C" w:rsidRPr="003972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66A4F">
        <w:rPr>
          <w:noProof/>
        </w:rPr>
        <w:drawing>
          <wp:inline distT="0" distB="0" distL="0" distR="0" wp14:anchorId="7741EF6C" wp14:editId="378B007D">
            <wp:extent cx="1495425" cy="845240"/>
            <wp:effectExtent l="0" t="0" r="0" b="0"/>
            <wp:docPr id="1" name="Picture 1" descr="\\kerrtarcog.org\voa\desktop\jhardin\Desktop\Kerr T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errtarcog.org\voa\desktop\jhardin\Desktop\Kerr Ta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4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4F" w:rsidRDefault="00B66A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3C51B" wp14:editId="628D9810">
                <wp:simplePos x="0" y="0"/>
                <wp:positionH relativeFrom="column">
                  <wp:posOffset>9525</wp:posOffset>
                </wp:positionH>
                <wp:positionV relativeFrom="paragraph">
                  <wp:posOffset>190499</wp:posOffset>
                </wp:positionV>
                <wp:extent cx="1352550" cy="5438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43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Diane Cox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Executive Director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b/>
                                <w:color w:val="007E39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b/>
                                <w:color w:val="007E39"/>
                                <w:sz w:val="18"/>
                                <w:szCs w:val="18"/>
                              </w:rPr>
                              <w:t>Member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b/>
                                <w:color w:val="007E39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b/>
                                <w:color w:val="007E39"/>
                                <w:sz w:val="18"/>
                                <w:szCs w:val="18"/>
                              </w:rPr>
                              <w:t>Governments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COUNTIES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Franklin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Granville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Person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Vance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Warren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MUNICIPALITIES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Bunn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Butner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Creedmoor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Franklinton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Henderson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Kittrell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Louisburg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Macon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Middleburg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Norlina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Oxford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Roxboro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Stem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Stovall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Warrenton</w:t>
                            </w:r>
                          </w:p>
                          <w:p w:rsidR="00B66A4F" w:rsidRPr="00B66A4F" w:rsidRDefault="00B66A4F" w:rsidP="00B66A4F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66A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Youngsville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15pt;width:106.5pt;height:4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" stroked="f">
                <v:textbox>
                  <w:txbxContent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Diane Cox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Executive Director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b/>
                          <w:color w:val="007E39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b/>
                          <w:color w:val="007E39"/>
                          <w:sz w:val="18"/>
                          <w:szCs w:val="18"/>
                        </w:rPr>
                        <w:t>Member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b/>
                          <w:color w:val="007E39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b/>
                          <w:color w:val="007E39"/>
                          <w:sz w:val="18"/>
                          <w:szCs w:val="18"/>
                        </w:rPr>
                        <w:t>Governments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COUNTIES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Franklin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Granville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Person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Vance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Warren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MUNICIPALITIES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Bunn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Butner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Creedmoor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Franklinton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Henderson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Kittrell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Louisburg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Macon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Middleburg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Norlina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Oxford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Roxboro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Stem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Stovall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Warrenton</w:t>
                      </w:r>
                    </w:p>
                    <w:p w:rsidR="00B66A4F" w:rsidRPr="00B66A4F" w:rsidRDefault="00B66A4F" w:rsidP="00B66A4F">
                      <w:pPr>
                        <w:spacing w:after="4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66A4F">
                        <w:rPr>
                          <w:rFonts w:ascii="Arial" w:hAnsi="Arial" w:cs="Arial"/>
                          <w:sz w:val="18"/>
                          <w:szCs w:val="18"/>
                        </w:rPr>
                        <w:t>Youngsville</w:t>
                      </w:r>
                    </w:p>
                  </w:txbxContent>
                </v:textbox>
              </v:shape>
            </w:pict>
          </mc:Fallback>
        </mc:AlternateContent>
      </w:r>
    </w:p>
    <w:p w:rsidR="00B66A4F" w:rsidRDefault="00B66A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132715</wp:posOffset>
                </wp:positionH>
                <wp:positionV relativeFrom="paragraph">
                  <wp:posOffset>7450455</wp:posOffset>
                </wp:positionV>
                <wp:extent cx="6677025" cy="1403985"/>
                <wp:effectExtent l="0" t="0" r="952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A4F" w:rsidRPr="00890D4A" w:rsidRDefault="00890D4A" w:rsidP="00890D4A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007E39"/>
                                <w:sz w:val="18"/>
                                <w:szCs w:val="18"/>
                              </w:rPr>
                            </w:pPr>
                            <w:r w:rsidRPr="00890D4A">
                              <w:rPr>
                                <w:rFonts w:ascii="Arial" w:hAnsi="Arial" w:cs="Arial"/>
                                <w:b/>
                                <w:noProof/>
                                <w:color w:val="007E39"/>
                                <w:sz w:val="18"/>
                                <w:szCs w:val="18"/>
                              </w:rPr>
                              <w:t>Planning and Development for a Better Region K</w:t>
                            </w:r>
                          </w:p>
                          <w:p w:rsidR="00890D4A" w:rsidRPr="00890D4A" w:rsidRDefault="00890D4A" w:rsidP="00890D4A">
                            <w:pPr>
                              <w:spacing w:after="4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0D4A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PO Box 709 – 1724 Graham Avenue – Henderson, NC 27536 – Phone (252) 436-2040- Toll Free (866) 506-6223 – Fax (252) 436-2055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0.45pt;margin-top:586.65pt;width:52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" stroked="f">
                <v:textbox style="mso-fit-shape-to-text:t">
                  <w:txbxContent>
                    <w:p w:rsidR="00B66A4F" w:rsidRPr="00890D4A" w:rsidRDefault="00890D4A" w:rsidP="00890D4A">
                      <w:pPr>
                        <w:spacing w:after="40" w:line="240" w:lineRule="auto"/>
                        <w:rPr>
                          <w:rFonts w:ascii="Arial" w:hAnsi="Arial" w:cs="Arial"/>
                          <w:b/>
                          <w:noProof/>
                          <w:color w:val="007E39"/>
                          <w:sz w:val="18"/>
                          <w:szCs w:val="18"/>
                        </w:rPr>
                      </w:pPr>
                      <w:r w:rsidRPr="00890D4A">
                        <w:rPr>
                          <w:rFonts w:ascii="Arial" w:hAnsi="Arial" w:cs="Arial"/>
                          <w:b/>
                          <w:noProof/>
                          <w:color w:val="007E39"/>
                          <w:sz w:val="18"/>
                          <w:szCs w:val="18"/>
                        </w:rPr>
                        <w:t>Planning and Development for a Better Region K</w:t>
                      </w:r>
                    </w:p>
                    <w:p w:rsidR="00890D4A" w:rsidRPr="00890D4A" w:rsidRDefault="00890D4A" w:rsidP="00890D4A">
                      <w:pPr>
                        <w:spacing w:after="4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0D4A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PO Box 709 – 1724 Graham Avenue – Henderson, NC 27536 – Phone (252) 436-2040- Toll Free (866) 506-6223 – Fax (252) 436-2055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A4F" w:rsidSect="00B66A4F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F"/>
    <w:rsid w:val="00013A6B"/>
    <w:rsid w:val="00036059"/>
    <w:rsid w:val="00073AA9"/>
    <w:rsid w:val="000A33BC"/>
    <w:rsid w:val="001104C1"/>
    <w:rsid w:val="001160C6"/>
    <w:rsid w:val="00170842"/>
    <w:rsid w:val="00194F76"/>
    <w:rsid w:val="00196736"/>
    <w:rsid w:val="001A3A52"/>
    <w:rsid w:val="00237305"/>
    <w:rsid w:val="00306726"/>
    <w:rsid w:val="00312C4D"/>
    <w:rsid w:val="0039729C"/>
    <w:rsid w:val="003B694E"/>
    <w:rsid w:val="004935D1"/>
    <w:rsid w:val="004E0503"/>
    <w:rsid w:val="00512436"/>
    <w:rsid w:val="00757426"/>
    <w:rsid w:val="00890D4A"/>
    <w:rsid w:val="008C5CB4"/>
    <w:rsid w:val="00961D32"/>
    <w:rsid w:val="009F71A0"/>
    <w:rsid w:val="00A25322"/>
    <w:rsid w:val="00A454EE"/>
    <w:rsid w:val="00B66A4F"/>
    <w:rsid w:val="00BB16F3"/>
    <w:rsid w:val="00C769D4"/>
    <w:rsid w:val="00D5525C"/>
    <w:rsid w:val="00D57E90"/>
    <w:rsid w:val="00E11C5F"/>
    <w:rsid w:val="00E3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E9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B1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E9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B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jacob@kerrtarcog.org" TargetMode="External"/><Relationship Id="rId5" Type="http://schemas.openxmlformats.org/officeDocument/2006/relationships/hyperlink" Target="mailto:sjacob@kerrtarco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Hardin</dc:creator>
  <cp:lastModifiedBy>Suja Jacob</cp:lastModifiedBy>
  <cp:revision>2</cp:revision>
  <cp:lastPrinted>2016-10-10T19:09:00Z</cp:lastPrinted>
  <dcterms:created xsi:type="dcterms:W3CDTF">2016-12-30T18:01:00Z</dcterms:created>
  <dcterms:modified xsi:type="dcterms:W3CDTF">2016-12-30T18:01:00Z</dcterms:modified>
</cp:coreProperties>
</file>